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AE60" w14:textId="77777777" w:rsidR="00AD5AAE" w:rsidRDefault="00AD5AA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732"/>
      </w:tblGrid>
      <w:tr w:rsidR="00E50714" w:rsidRPr="00C45BBF" w14:paraId="27225BB7" w14:textId="77777777" w:rsidTr="00E50714">
        <w:tc>
          <w:tcPr>
            <w:tcW w:w="3923" w:type="dxa"/>
          </w:tcPr>
          <w:p w14:paraId="7C84FF7A" w14:textId="03C2BD9D" w:rsidR="00E50714" w:rsidRPr="00C45BBF" w:rsidRDefault="00E50714" w:rsidP="00C45BBF">
            <w:pPr>
              <w:jc w:val="center"/>
              <w:rPr>
                <w:b/>
                <w:bCs/>
              </w:rPr>
            </w:pPr>
            <w:r w:rsidRPr="00C45BBF">
              <w:rPr>
                <w:b/>
                <w:bCs/>
              </w:rPr>
              <w:t>Kulturgüterschutz</w:t>
            </w:r>
          </w:p>
        </w:tc>
        <w:tc>
          <w:tcPr>
            <w:tcW w:w="4732" w:type="dxa"/>
          </w:tcPr>
          <w:p w14:paraId="3D5CAB3F" w14:textId="599AB273" w:rsidR="00E50714" w:rsidRPr="00C45BBF" w:rsidRDefault="00E50714" w:rsidP="00C45BBF">
            <w:pPr>
              <w:jc w:val="center"/>
              <w:rPr>
                <w:b/>
                <w:bCs/>
              </w:rPr>
            </w:pPr>
            <w:proofErr w:type="spellStart"/>
            <w:r w:rsidRPr="00C45BBF">
              <w:rPr>
                <w:b/>
                <w:bCs/>
              </w:rPr>
              <w:t>Protezione</w:t>
            </w:r>
            <w:proofErr w:type="spellEnd"/>
            <w:r w:rsidRPr="00C45BBF">
              <w:rPr>
                <w:b/>
                <w:bCs/>
              </w:rPr>
              <w:t xml:space="preserve"> </w:t>
            </w:r>
            <w:proofErr w:type="spellStart"/>
            <w:r w:rsidRPr="00C45BBF">
              <w:rPr>
                <w:b/>
                <w:bCs/>
              </w:rPr>
              <w:t>dei</w:t>
            </w:r>
            <w:proofErr w:type="spellEnd"/>
            <w:r w:rsidRPr="00C45BBF">
              <w:rPr>
                <w:b/>
                <w:bCs/>
              </w:rPr>
              <w:t xml:space="preserve"> </w:t>
            </w:r>
            <w:proofErr w:type="spellStart"/>
            <w:r w:rsidRPr="00C45BBF">
              <w:rPr>
                <w:b/>
                <w:bCs/>
              </w:rPr>
              <w:t>beni</w:t>
            </w:r>
            <w:proofErr w:type="spellEnd"/>
            <w:r w:rsidRPr="00C45BBF">
              <w:rPr>
                <w:b/>
                <w:bCs/>
              </w:rPr>
              <w:t xml:space="preserve"> </w:t>
            </w:r>
            <w:proofErr w:type="spellStart"/>
            <w:r w:rsidRPr="00C45BBF">
              <w:rPr>
                <w:b/>
                <w:bCs/>
              </w:rPr>
              <w:t>culturali</w:t>
            </w:r>
            <w:proofErr w:type="spellEnd"/>
          </w:p>
        </w:tc>
      </w:tr>
      <w:tr w:rsidR="00E50714" w:rsidRPr="00BF531A" w14:paraId="4F93AF8B" w14:textId="77777777" w:rsidTr="00E50714">
        <w:tc>
          <w:tcPr>
            <w:tcW w:w="3923" w:type="dxa"/>
          </w:tcPr>
          <w:p w14:paraId="1412D08D" w14:textId="3FCA4631" w:rsidR="00E50714" w:rsidRPr="00C45BBF" w:rsidRDefault="00E50714" w:rsidP="00E50714">
            <w:pPr>
              <w:rPr>
                <w:b/>
                <w:bCs/>
                <w:sz w:val="20"/>
                <w:szCs w:val="20"/>
              </w:rPr>
            </w:pPr>
            <w:r w:rsidRPr="00C45BBF">
              <w:rPr>
                <w:b/>
                <w:bCs/>
                <w:sz w:val="20"/>
                <w:szCs w:val="20"/>
              </w:rPr>
              <w:t xml:space="preserve">Konkrete Empfehlungen – Notfallplan </w:t>
            </w:r>
          </w:p>
          <w:p w14:paraId="398DE934" w14:textId="77777777" w:rsidR="00E50714" w:rsidRPr="00C45BBF" w:rsidRDefault="00E50714" w:rsidP="00E507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2" w:type="dxa"/>
          </w:tcPr>
          <w:p w14:paraId="1438514D" w14:textId="7C6E95D9" w:rsidR="00E50714" w:rsidRPr="00C45BBF" w:rsidRDefault="00E50714" w:rsidP="00AD5AAE">
            <w:pPr>
              <w:rPr>
                <w:b/>
                <w:bCs/>
                <w:sz w:val="20"/>
                <w:szCs w:val="20"/>
                <w:lang w:val="it-IT"/>
              </w:rPr>
            </w:pPr>
            <w:r w:rsidRPr="00C45BBF">
              <w:rPr>
                <w:b/>
                <w:bCs/>
                <w:sz w:val="20"/>
                <w:szCs w:val="20"/>
                <w:lang w:val="it-IT"/>
              </w:rPr>
              <w:t xml:space="preserve">indicazioni operative - piano di emergenza </w:t>
            </w:r>
          </w:p>
        </w:tc>
      </w:tr>
      <w:tr w:rsidR="008A1419" w:rsidRPr="00BF531A" w14:paraId="39BE596B" w14:textId="77777777" w:rsidTr="00E50714">
        <w:tc>
          <w:tcPr>
            <w:tcW w:w="3923" w:type="dxa"/>
          </w:tcPr>
          <w:p w14:paraId="2320F0C6" w14:textId="3BC127F8" w:rsidR="008A1419" w:rsidRPr="00C45BBF" w:rsidRDefault="00846B7E" w:rsidP="00E50714">
            <w:pPr>
              <w:rPr>
                <w:sz w:val="18"/>
                <w:szCs w:val="18"/>
              </w:rPr>
            </w:pPr>
            <w:hyperlink r:id="rId8" w:history="1">
              <w:r w:rsidR="008A1419" w:rsidRPr="00C45BBF">
                <w:rPr>
                  <w:rStyle w:val="Hyperlink"/>
                  <w:sz w:val="18"/>
                  <w:szCs w:val="18"/>
                </w:rPr>
                <w:t>Handbuch Kulturgüterschutz: Notfallplan und Handlungsempfehlungen | Museen | Landesverwaltung | Autonome Provinz Bozen - Südtirol</w:t>
              </w:r>
            </w:hyperlink>
          </w:p>
        </w:tc>
        <w:tc>
          <w:tcPr>
            <w:tcW w:w="4732" w:type="dxa"/>
          </w:tcPr>
          <w:p w14:paraId="41C19001" w14:textId="020D6B03" w:rsidR="008A1419" w:rsidRPr="00C45BBF" w:rsidRDefault="00846B7E" w:rsidP="00AD5AAE">
            <w:pPr>
              <w:rPr>
                <w:sz w:val="18"/>
                <w:szCs w:val="18"/>
                <w:lang w:val="it-IT"/>
              </w:rPr>
            </w:pPr>
            <w:hyperlink r:id="rId9" w:history="1">
              <w:r w:rsidR="008A1419" w:rsidRPr="00C45BBF">
                <w:rPr>
                  <w:rStyle w:val="Hyperlink"/>
                  <w:sz w:val="18"/>
                  <w:szCs w:val="18"/>
                  <w:lang w:val="it-IT"/>
                </w:rPr>
                <w:t>Manuale di protezione dei beni culturali: piano di emergenza e indicazioni operative | Musei | Amministrazione provinciale | Provincia autonoma di Bolzano - Alto Adige</w:t>
              </w:r>
            </w:hyperlink>
            <w:r w:rsidR="008A1419" w:rsidRPr="00C45BBF">
              <w:rPr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6C254E6C" w14:textId="77777777" w:rsidR="00AD5AAE" w:rsidRPr="00E50714" w:rsidRDefault="00AD5AAE">
      <w:pPr>
        <w:rPr>
          <w:lang w:val="it-IT"/>
        </w:rPr>
      </w:pPr>
    </w:p>
    <w:p w14:paraId="0ECCF5F6" w14:textId="77777777" w:rsidR="00281E80" w:rsidRDefault="00CF5BA6" w:rsidP="00281E80">
      <w:r>
        <w:t>Kulturgüter wie Kunstwerke</w:t>
      </w:r>
      <w:r w:rsidR="00281E80">
        <w:t xml:space="preserve"> und Archivalien </w:t>
      </w:r>
      <w:r>
        <w:t xml:space="preserve">sind Zeugnisse, die unsere Geschichte und unseren Lebensraum geprägt haben und </w:t>
      </w:r>
      <w:r w:rsidR="00281E80">
        <w:t xml:space="preserve">weiterhin </w:t>
      </w:r>
      <w:r>
        <w:t xml:space="preserve">Identität und Kultur vermitteln. </w:t>
      </w:r>
      <w:r w:rsidR="00281E80">
        <w:t xml:space="preserve">Diese Kulturschätze gilt es </w:t>
      </w:r>
      <w:r>
        <w:t xml:space="preserve">vor Schaden, Verfall und Zerstörung zu bewahren. </w:t>
      </w:r>
    </w:p>
    <w:p w14:paraId="28FC500E" w14:textId="77777777" w:rsidR="0097338C" w:rsidRDefault="0097338C" w:rsidP="00281E80">
      <w:r>
        <w:t>D</w:t>
      </w:r>
      <w:r w:rsidR="00281E80">
        <w:t xml:space="preserve">iese </w:t>
      </w:r>
      <w:r w:rsidR="00CF5BA6">
        <w:t>nicht gerade einfache Aufgabe</w:t>
      </w:r>
      <w:r>
        <w:t xml:space="preserve"> betrifft </w:t>
      </w:r>
      <w:r w:rsidR="00CF5BA6">
        <w:t>die gesamte Gesellschaft, aber vor allem jene, die Eigentümer und Verwahrer dieser kulturellen Güter sind</w:t>
      </w:r>
      <w:r>
        <w:t xml:space="preserve">. </w:t>
      </w:r>
    </w:p>
    <w:p w14:paraId="3A91F3CF" w14:textId="15FECCBF" w:rsidR="00281E80" w:rsidRDefault="0097338C" w:rsidP="00281E80">
      <w:r>
        <w:t xml:space="preserve">Im Katastrophenfall müssten sofort die richtigen Sicherungsmaßnahmen eingeleitet werden. Darauf </w:t>
      </w:r>
      <w:r w:rsidR="00281E80">
        <w:t xml:space="preserve">weist das </w:t>
      </w:r>
      <w:r w:rsidR="00CF5BA6">
        <w:rPr>
          <w:lang w:eastAsia="de-DE"/>
        </w:rPr>
        <w:t>eben veröffentlichte „</w:t>
      </w:r>
      <w:r w:rsidR="00CF5BA6" w:rsidRPr="00DD5B39">
        <w:rPr>
          <w:lang w:eastAsia="de-DE"/>
        </w:rPr>
        <w:t>Handbuch Kulturgüterschutz: Notfallplan und Handlungsempfehlungen</w:t>
      </w:r>
      <w:r w:rsidR="00CF5BA6">
        <w:rPr>
          <w:lang w:eastAsia="de-DE"/>
        </w:rPr>
        <w:t>“</w:t>
      </w:r>
      <w:r w:rsidR="00281E80">
        <w:rPr>
          <w:lang w:eastAsia="de-DE"/>
        </w:rPr>
        <w:t xml:space="preserve"> hin</w:t>
      </w:r>
      <w:r>
        <w:rPr>
          <w:lang w:eastAsia="de-DE"/>
        </w:rPr>
        <w:t xml:space="preserve">: </w:t>
      </w:r>
      <w:r w:rsidR="00281E80">
        <w:rPr>
          <w:lang w:eastAsia="de-DE"/>
        </w:rPr>
        <w:t xml:space="preserve">siehe </w:t>
      </w:r>
      <w:hyperlink r:id="rId10" w:history="1">
        <w:r w:rsidR="00CF5BA6" w:rsidRPr="0057473D">
          <w:rPr>
            <w:rStyle w:val="Hyperlink"/>
          </w:rPr>
          <w:t>https://www.provinz.bz.it/kunst-kultur/museen/852.asp</w:t>
        </w:r>
      </w:hyperlink>
      <w:r w:rsidR="00281E80">
        <w:t xml:space="preserve">. </w:t>
      </w:r>
    </w:p>
    <w:p w14:paraId="35457513" w14:textId="6571619F" w:rsidR="0097338C" w:rsidRDefault="00B8594D" w:rsidP="00CF5BA6">
      <w:pPr>
        <w:shd w:val="clear" w:color="auto" w:fill="FFFFFF"/>
        <w:spacing w:before="0" w:after="0"/>
        <w:outlineLvl w:val="0"/>
      </w:pPr>
      <w:r>
        <w:t xml:space="preserve">Auch die Pfarreien sind Eigentümer und Verwahrer von bedeutenden Kulturgütern und sollen so gut als möglich der Verpflichtung zu deren Schutz nachkommen. </w:t>
      </w:r>
    </w:p>
    <w:p w14:paraId="26413B82" w14:textId="0662B39B" w:rsidR="00CF5BA6" w:rsidRDefault="004B2205" w:rsidP="004B2205">
      <w:r>
        <w:t xml:space="preserve">Als erste Maßnahmen zur Vorbeugung von Schaden und zum Schutz der kulturellen Güter bei Brand, Wassereintritt, Rohrbruch, Überschwemmung oder sonstigen Schadensfällen sollte deshalb folgendes veranlasst werden: </w:t>
      </w:r>
    </w:p>
    <w:p w14:paraId="5DC74451" w14:textId="2DCA8BEB" w:rsidR="00CF5BA6" w:rsidRPr="004B2205" w:rsidRDefault="00CF5BA6" w:rsidP="00CF5BA6">
      <w:pPr>
        <w:pStyle w:val="Listenabsatz"/>
        <w:numPr>
          <w:ilvl w:val="0"/>
          <w:numId w:val="3"/>
        </w:numPr>
      </w:pPr>
      <w:r w:rsidRPr="004B2205">
        <w:t xml:space="preserve">Das </w:t>
      </w:r>
      <w:r w:rsidRPr="00E57E04">
        <w:rPr>
          <w:color w:val="FF0000"/>
        </w:rPr>
        <w:t>Inventar</w:t>
      </w:r>
      <w:r w:rsidR="00E57E04">
        <w:rPr>
          <w:color w:val="FF0000"/>
        </w:rPr>
        <w:t>verzeichnis</w:t>
      </w:r>
      <w:r w:rsidRPr="00E57E04">
        <w:rPr>
          <w:color w:val="FF0000"/>
        </w:rPr>
        <w:t xml:space="preserve"> der Kulturgüter</w:t>
      </w:r>
      <w:r w:rsidRPr="004B2205">
        <w:t xml:space="preserve">, das als Bilddokumentation im Pfarrbüro aufliegt, sichten und jene Objekte kennzeichnen, die im Schadensfall sofort und unmittelbar zu bergen sind und auch sichergestellt werden können. </w:t>
      </w:r>
    </w:p>
    <w:p w14:paraId="4094C6D8" w14:textId="176553AA" w:rsidR="00CF5BA6" w:rsidRPr="004B2205" w:rsidRDefault="00CF5BA6" w:rsidP="00CF5BA6">
      <w:pPr>
        <w:pStyle w:val="Listenabsatz"/>
        <w:numPr>
          <w:ilvl w:val="0"/>
          <w:numId w:val="3"/>
        </w:numPr>
      </w:pPr>
      <w:r w:rsidRPr="004B2205">
        <w:t xml:space="preserve">Den </w:t>
      </w:r>
      <w:r w:rsidRPr="00E57E04">
        <w:rPr>
          <w:color w:val="FF0000"/>
        </w:rPr>
        <w:t xml:space="preserve">Raum bzw. </w:t>
      </w:r>
      <w:r w:rsidR="00B028AB" w:rsidRPr="00E57E04">
        <w:rPr>
          <w:color w:val="FF0000"/>
        </w:rPr>
        <w:t xml:space="preserve">den </w:t>
      </w:r>
      <w:r w:rsidRPr="00E57E04">
        <w:rPr>
          <w:color w:val="FF0000"/>
        </w:rPr>
        <w:t>Ort</w:t>
      </w:r>
      <w:r w:rsidRPr="004B2205">
        <w:t xml:space="preserve">, an dem die Archivalien </w:t>
      </w:r>
      <w:r w:rsidR="00E57E04">
        <w:t xml:space="preserve">und Kunstwerke </w:t>
      </w:r>
      <w:r w:rsidRPr="004B2205">
        <w:t xml:space="preserve">verwahrt sind, </w:t>
      </w:r>
      <w:r w:rsidRPr="00E57E04">
        <w:rPr>
          <w:color w:val="FF0000"/>
        </w:rPr>
        <w:t xml:space="preserve">inspizieren </w:t>
      </w:r>
      <w:r w:rsidRPr="004B2205">
        <w:t>und auf das Gefahrenrisiko einschätzen</w:t>
      </w:r>
      <w:r w:rsidR="00B028AB">
        <w:t xml:space="preserve">. </w:t>
      </w:r>
    </w:p>
    <w:p w14:paraId="269D2A22" w14:textId="5DB4BF4E" w:rsidR="00CF5BA6" w:rsidRPr="004B2205" w:rsidRDefault="00CF5BA6" w:rsidP="00CF5BA6">
      <w:pPr>
        <w:pStyle w:val="Listenabsatz"/>
        <w:numPr>
          <w:ilvl w:val="0"/>
          <w:numId w:val="3"/>
        </w:numPr>
      </w:pPr>
      <w:r w:rsidRPr="004B2205">
        <w:t xml:space="preserve">Kontakt mit dem Einsatzleiter der </w:t>
      </w:r>
      <w:r w:rsidRPr="00E57E04">
        <w:rPr>
          <w:color w:val="FF0000"/>
        </w:rPr>
        <w:t xml:space="preserve">Freiwilligen Feuerwehr </w:t>
      </w:r>
      <w:r w:rsidR="00B028AB">
        <w:t xml:space="preserve">aufnehmen </w:t>
      </w:r>
      <w:r w:rsidRPr="004B2205">
        <w:t xml:space="preserve">und </w:t>
      </w:r>
      <w:r w:rsidR="00B028AB">
        <w:t xml:space="preserve">bei einem </w:t>
      </w:r>
      <w:r w:rsidRPr="004B2205">
        <w:t>Ortsaugenschein</w:t>
      </w:r>
      <w:r w:rsidR="00B028AB">
        <w:t xml:space="preserve"> das Schadensris</w:t>
      </w:r>
      <w:r w:rsidRPr="004B2205">
        <w:t xml:space="preserve">iko </w:t>
      </w:r>
      <w:r w:rsidR="00B028AB">
        <w:t xml:space="preserve">einschätzen sowie </w:t>
      </w:r>
      <w:r w:rsidRPr="004B2205">
        <w:t>Maßnahmen zur Bergung und Sicherstellung von Kulturgütern be</w:t>
      </w:r>
      <w:r w:rsidR="00B028AB">
        <w:t>sprechen</w:t>
      </w:r>
      <w:r w:rsidRPr="004B2205">
        <w:t xml:space="preserve">. </w:t>
      </w:r>
    </w:p>
    <w:p w14:paraId="76660FC6" w14:textId="5ECDF80B" w:rsidR="00CF5BA6" w:rsidRPr="004B2205" w:rsidRDefault="00DD0ADC" w:rsidP="00CF5BA6">
      <w:pPr>
        <w:pStyle w:val="Listenabsatz"/>
        <w:numPr>
          <w:ilvl w:val="0"/>
          <w:numId w:val="3"/>
        </w:numPr>
      </w:pPr>
      <w:r w:rsidRPr="00E57E04">
        <w:rPr>
          <w:color w:val="FF0000"/>
        </w:rPr>
        <w:t xml:space="preserve">Vorbeuge- und </w:t>
      </w:r>
      <w:r w:rsidR="00CF5BA6" w:rsidRPr="00E57E04">
        <w:rPr>
          <w:color w:val="FF0000"/>
        </w:rPr>
        <w:t>Schutzmaßnahmen</w:t>
      </w:r>
      <w:r w:rsidR="00CF5BA6" w:rsidRPr="004B2205">
        <w:t>, die umgehend getroffen werden können</w:t>
      </w:r>
      <w:r>
        <w:t>, beraten und veranlassen.</w:t>
      </w:r>
    </w:p>
    <w:p w14:paraId="44780C53" w14:textId="3B44E691" w:rsidR="00CF5BA6" w:rsidRDefault="00DD0ADC" w:rsidP="00CF5BA6">
      <w:pPr>
        <w:pStyle w:val="Listenabsatz"/>
        <w:numPr>
          <w:ilvl w:val="0"/>
          <w:numId w:val="3"/>
        </w:numPr>
      </w:pPr>
      <w:r>
        <w:t>E</w:t>
      </w:r>
      <w:r w:rsidR="00CF5BA6" w:rsidRPr="004B2205">
        <w:t>ine</w:t>
      </w:r>
      <w:r>
        <w:t xml:space="preserve">n </w:t>
      </w:r>
      <w:r w:rsidR="00CF5BA6" w:rsidRPr="004B2205">
        <w:t>„</w:t>
      </w:r>
      <w:r w:rsidR="00CF5BA6" w:rsidRPr="00E57E04">
        <w:rPr>
          <w:color w:val="FF0000"/>
        </w:rPr>
        <w:t>Notfallplan</w:t>
      </w:r>
      <w:r w:rsidR="00CF5BA6" w:rsidRPr="004B2205">
        <w:t xml:space="preserve">“ </w:t>
      </w:r>
      <w:r>
        <w:t>erstellen</w:t>
      </w:r>
      <w:r w:rsidR="00F60FB1">
        <w:t xml:space="preserve"> anhand der Mustervorlagen (siehe Anhang) bzw. </w:t>
      </w:r>
      <w:r w:rsidR="00CF5BA6" w:rsidRPr="004B2205">
        <w:t>unter Berücksichtigung der Anregungen des Handbuches Kulturgüterschutz</w:t>
      </w:r>
      <w:r w:rsidR="00F60FB1">
        <w:t xml:space="preserve">. Diese Unterlagen sollen in einem </w:t>
      </w:r>
      <w:r w:rsidR="00CF5BA6" w:rsidRPr="004B2205">
        <w:t>„Notfallordner“</w:t>
      </w:r>
      <w:r w:rsidR="00F60FB1">
        <w:t xml:space="preserve"> gesammelt werden</w:t>
      </w:r>
      <w:r w:rsidR="00CF5BA6" w:rsidRPr="004B2205">
        <w:t xml:space="preserve">, </w:t>
      </w:r>
      <w:r w:rsidR="00F60FB1">
        <w:t xml:space="preserve">welcher </w:t>
      </w:r>
      <w:r w:rsidR="00CF5BA6" w:rsidRPr="004B2205">
        <w:t xml:space="preserve">im Pfarrbüro und bei der Feuerwehr hinterlegt wird. </w:t>
      </w:r>
    </w:p>
    <w:p w14:paraId="5D4E158D" w14:textId="0E6A8E6B" w:rsidR="00BF531A" w:rsidRDefault="00BF531A" w:rsidP="00BF531A"/>
    <w:p w14:paraId="28E660E2" w14:textId="1C07A0BB" w:rsidR="00BF531A" w:rsidRDefault="00BF531A" w:rsidP="00BF531A">
      <w:r>
        <w:t xml:space="preserve">Weitere Informationen </w:t>
      </w:r>
      <w:r w:rsidR="00846B7E">
        <w:t xml:space="preserve">können eingeholt werden bei: </w:t>
      </w:r>
    </w:p>
    <w:p w14:paraId="5800134E" w14:textId="77777777" w:rsidR="00783D82" w:rsidRDefault="00783D82" w:rsidP="00783D82">
      <w:pPr>
        <w:pStyle w:val="Listenabsatz"/>
        <w:numPr>
          <w:ilvl w:val="0"/>
          <w:numId w:val="10"/>
        </w:numPr>
      </w:pPr>
      <w:r w:rsidRPr="00783D82">
        <w:t xml:space="preserve">Landesdenkmalamt: </w:t>
      </w:r>
      <w:r w:rsidRPr="00783D82">
        <w:t>Tel.:</w:t>
      </w:r>
      <w:r>
        <w:t xml:space="preserve"> </w:t>
      </w:r>
      <w:hyperlink r:id="rId11" w:history="1">
        <w:r w:rsidRPr="00783D82">
          <w:t>0471 411900</w:t>
        </w:r>
      </w:hyperlink>
      <w:r>
        <w:t xml:space="preserve">; </w:t>
      </w:r>
      <w:r w:rsidRPr="00783D82">
        <w:t>E-Mail:</w:t>
      </w:r>
      <w:r>
        <w:t xml:space="preserve"> </w:t>
      </w:r>
      <w:hyperlink r:id="rId12" w:history="1">
        <w:r w:rsidRPr="00166545">
          <w:rPr>
            <w:rStyle w:val="Hyperlink"/>
          </w:rPr>
          <w:t>landesdenkmalamt@provinz.bz.it</w:t>
        </w:r>
      </w:hyperlink>
    </w:p>
    <w:p w14:paraId="15BC6548" w14:textId="4EAED047" w:rsidR="00783D82" w:rsidRPr="00783D82" w:rsidRDefault="00783D82" w:rsidP="00297DA5">
      <w:pPr>
        <w:pStyle w:val="Listenabsatz"/>
        <w:numPr>
          <w:ilvl w:val="0"/>
          <w:numId w:val="10"/>
        </w:numPr>
        <w:ind w:right="-286"/>
      </w:pPr>
      <w:r w:rsidRPr="00783D82">
        <w:t>Agentur für Bevölkerungsschutz</w:t>
      </w:r>
      <w:r>
        <w:t xml:space="preserve">: </w:t>
      </w:r>
      <w:r w:rsidRPr="00783D82">
        <w:t>Tel.:</w:t>
      </w:r>
      <w:r>
        <w:t xml:space="preserve"> </w:t>
      </w:r>
      <w:hyperlink r:id="rId13" w:history="1">
        <w:r w:rsidRPr="00783D82">
          <w:t>0471 416000</w:t>
        </w:r>
      </w:hyperlink>
      <w:r>
        <w:t xml:space="preserve">; </w:t>
      </w:r>
      <w:r w:rsidRPr="00783D82">
        <w:t>E-Mail:</w:t>
      </w:r>
      <w:r w:rsidR="00297DA5">
        <w:t xml:space="preserve"> </w:t>
      </w:r>
      <w:hyperlink r:id="rId14" w:history="1">
        <w:r w:rsidR="00297DA5" w:rsidRPr="00166545">
          <w:rPr>
            <w:rStyle w:val="Hyperlink"/>
          </w:rPr>
          <w:t>bevoelkerungsschutz@provinz.bz.it</w:t>
        </w:r>
      </w:hyperlink>
      <w:r w:rsidR="00297DA5">
        <w:t xml:space="preserve"> </w:t>
      </w:r>
    </w:p>
    <w:p w14:paraId="6BDAB0FD" w14:textId="3DF07C66" w:rsidR="00783D82" w:rsidRDefault="00960EFB" w:rsidP="00783D82">
      <w:pPr>
        <w:pStyle w:val="Listenabsatz"/>
        <w:numPr>
          <w:ilvl w:val="0"/>
          <w:numId w:val="10"/>
        </w:numPr>
      </w:pPr>
      <w:r>
        <w:t xml:space="preserve">Verwaltungsamt Diözese Bozen-Brixen, </w:t>
      </w:r>
      <w:r w:rsidR="000C13B6">
        <w:t>Refer</w:t>
      </w:r>
      <w:r>
        <w:t xml:space="preserve">at </w:t>
      </w:r>
      <w:r w:rsidR="000C13B6">
        <w:t xml:space="preserve">für kirchliche Kunst und Kulturgüter: </w:t>
      </w:r>
      <w:r w:rsidR="00CA59AE">
        <w:br/>
      </w:r>
      <w:r w:rsidR="000C13B6">
        <w:t xml:space="preserve">Tel. </w:t>
      </w:r>
      <w:r>
        <w:t>0471 306 203</w:t>
      </w:r>
      <w:r w:rsidR="00CA59AE">
        <w:t xml:space="preserve">; </w:t>
      </w:r>
      <w:hyperlink r:id="rId15" w:history="1">
        <w:r w:rsidR="00CA59AE" w:rsidRPr="00166545">
          <w:rPr>
            <w:rStyle w:val="Hyperlink"/>
          </w:rPr>
          <w:t>verwaltung.amministrazione@bz-bx.net</w:t>
        </w:r>
      </w:hyperlink>
    </w:p>
    <w:p w14:paraId="62A9CD64" w14:textId="77777777" w:rsidR="00CA59AE" w:rsidRPr="00783D82" w:rsidRDefault="00CA59AE" w:rsidP="00846B7E"/>
    <w:sectPr w:rsidR="00CA59AE" w:rsidRPr="00783D82" w:rsidSect="007D39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37D5" w14:textId="77777777" w:rsidR="00DD5B39" w:rsidRDefault="00DD5B39" w:rsidP="00DD5B39">
      <w:pPr>
        <w:spacing w:before="0" w:after="0"/>
      </w:pPr>
      <w:r>
        <w:separator/>
      </w:r>
    </w:p>
  </w:endnote>
  <w:endnote w:type="continuationSeparator" w:id="0">
    <w:p w14:paraId="7F39E948" w14:textId="77777777" w:rsidR="00DD5B39" w:rsidRDefault="00DD5B39" w:rsidP="00DD5B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E56B" w14:textId="77777777" w:rsidR="00DD5B39" w:rsidRDefault="00DD5B39" w:rsidP="00DD5B39">
      <w:pPr>
        <w:spacing w:before="0" w:after="0"/>
      </w:pPr>
      <w:r>
        <w:separator/>
      </w:r>
    </w:p>
  </w:footnote>
  <w:footnote w:type="continuationSeparator" w:id="0">
    <w:p w14:paraId="70478D44" w14:textId="77777777" w:rsidR="00DD5B39" w:rsidRDefault="00DD5B39" w:rsidP="00DD5B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59B"/>
    <w:multiLevelType w:val="multilevel"/>
    <w:tmpl w:val="865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B78C1"/>
    <w:multiLevelType w:val="hybridMultilevel"/>
    <w:tmpl w:val="B512E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44A1"/>
    <w:multiLevelType w:val="hybridMultilevel"/>
    <w:tmpl w:val="56A45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9B3"/>
    <w:multiLevelType w:val="hybridMultilevel"/>
    <w:tmpl w:val="19E01E1A"/>
    <w:lvl w:ilvl="0" w:tplc="9B2094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D70AF"/>
    <w:multiLevelType w:val="hybridMultilevel"/>
    <w:tmpl w:val="495CB21C"/>
    <w:lvl w:ilvl="0" w:tplc="A2645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92798E"/>
    <w:multiLevelType w:val="hybridMultilevel"/>
    <w:tmpl w:val="6BC60F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A4DD0"/>
    <w:multiLevelType w:val="hybridMultilevel"/>
    <w:tmpl w:val="C07E18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57668"/>
    <w:multiLevelType w:val="hybridMultilevel"/>
    <w:tmpl w:val="F7D0A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06D0B"/>
    <w:multiLevelType w:val="multilevel"/>
    <w:tmpl w:val="0B76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33249"/>
    <w:multiLevelType w:val="hybridMultilevel"/>
    <w:tmpl w:val="83FCBC22"/>
    <w:lvl w:ilvl="0" w:tplc="23FE138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02287287">
    <w:abstractNumId w:val="8"/>
  </w:num>
  <w:num w:numId="2" w16cid:durableId="1223832136">
    <w:abstractNumId w:val="0"/>
  </w:num>
  <w:num w:numId="3" w16cid:durableId="1635140020">
    <w:abstractNumId w:val="1"/>
  </w:num>
  <w:num w:numId="4" w16cid:durableId="26149348">
    <w:abstractNumId w:val="5"/>
  </w:num>
  <w:num w:numId="5" w16cid:durableId="108358489">
    <w:abstractNumId w:val="9"/>
  </w:num>
  <w:num w:numId="6" w16cid:durableId="554392657">
    <w:abstractNumId w:val="4"/>
  </w:num>
  <w:num w:numId="7" w16cid:durableId="1086997714">
    <w:abstractNumId w:val="6"/>
  </w:num>
  <w:num w:numId="8" w16cid:durableId="1133714657">
    <w:abstractNumId w:val="7"/>
  </w:num>
  <w:num w:numId="9" w16cid:durableId="637300237">
    <w:abstractNumId w:val="2"/>
  </w:num>
  <w:num w:numId="10" w16cid:durableId="238173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FD"/>
    <w:rsid w:val="00027331"/>
    <w:rsid w:val="00090402"/>
    <w:rsid w:val="00093B54"/>
    <w:rsid w:val="000950C9"/>
    <w:rsid w:val="000A35C1"/>
    <w:rsid w:val="000C13B6"/>
    <w:rsid w:val="000E2375"/>
    <w:rsid w:val="000E391C"/>
    <w:rsid w:val="00123AD4"/>
    <w:rsid w:val="00152967"/>
    <w:rsid w:val="0018359B"/>
    <w:rsid w:val="00197D88"/>
    <w:rsid w:val="001D63B1"/>
    <w:rsid w:val="001F2E38"/>
    <w:rsid w:val="001F60F3"/>
    <w:rsid w:val="002131C9"/>
    <w:rsid w:val="00281E80"/>
    <w:rsid w:val="00281EB4"/>
    <w:rsid w:val="00297DA5"/>
    <w:rsid w:val="002A2423"/>
    <w:rsid w:val="002E23D8"/>
    <w:rsid w:val="0030430C"/>
    <w:rsid w:val="0030506C"/>
    <w:rsid w:val="00391162"/>
    <w:rsid w:val="003C0854"/>
    <w:rsid w:val="00472377"/>
    <w:rsid w:val="00480420"/>
    <w:rsid w:val="004910FA"/>
    <w:rsid w:val="004958C4"/>
    <w:rsid w:val="004B0BBB"/>
    <w:rsid w:val="004B2205"/>
    <w:rsid w:val="004D3CCD"/>
    <w:rsid w:val="005D379D"/>
    <w:rsid w:val="005D43E6"/>
    <w:rsid w:val="005E4063"/>
    <w:rsid w:val="005F007C"/>
    <w:rsid w:val="005F1AA9"/>
    <w:rsid w:val="005F4DBC"/>
    <w:rsid w:val="00601440"/>
    <w:rsid w:val="006565C2"/>
    <w:rsid w:val="00666C4B"/>
    <w:rsid w:val="00667B45"/>
    <w:rsid w:val="006868DD"/>
    <w:rsid w:val="00695701"/>
    <w:rsid w:val="006C012D"/>
    <w:rsid w:val="006E6F79"/>
    <w:rsid w:val="006F4837"/>
    <w:rsid w:val="007012C7"/>
    <w:rsid w:val="00725E62"/>
    <w:rsid w:val="00743EEE"/>
    <w:rsid w:val="00771344"/>
    <w:rsid w:val="00783D82"/>
    <w:rsid w:val="00785A34"/>
    <w:rsid w:val="007D399A"/>
    <w:rsid w:val="007D75A5"/>
    <w:rsid w:val="007F7AFD"/>
    <w:rsid w:val="00800F95"/>
    <w:rsid w:val="00812287"/>
    <w:rsid w:val="00824146"/>
    <w:rsid w:val="0082494E"/>
    <w:rsid w:val="00827856"/>
    <w:rsid w:val="00830A9A"/>
    <w:rsid w:val="008404AD"/>
    <w:rsid w:val="00846B7E"/>
    <w:rsid w:val="00850B71"/>
    <w:rsid w:val="00883C65"/>
    <w:rsid w:val="00896F33"/>
    <w:rsid w:val="008A1419"/>
    <w:rsid w:val="008D219C"/>
    <w:rsid w:val="00940545"/>
    <w:rsid w:val="009539EA"/>
    <w:rsid w:val="00960EFB"/>
    <w:rsid w:val="0097338C"/>
    <w:rsid w:val="00975727"/>
    <w:rsid w:val="009946E4"/>
    <w:rsid w:val="00994A7B"/>
    <w:rsid w:val="009B591A"/>
    <w:rsid w:val="009E60A3"/>
    <w:rsid w:val="00A400CD"/>
    <w:rsid w:val="00A642CF"/>
    <w:rsid w:val="00A97AF6"/>
    <w:rsid w:val="00AA0DBA"/>
    <w:rsid w:val="00AB1D14"/>
    <w:rsid w:val="00AD3BAC"/>
    <w:rsid w:val="00AD5AAE"/>
    <w:rsid w:val="00AD7A45"/>
    <w:rsid w:val="00B028AB"/>
    <w:rsid w:val="00B04B4B"/>
    <w:rsid w:val="00B1455A"/>
    <w:rsid w:val="00B46D39"/>
    <w:rsid w:val="00B51D4B"/>
    <w:rsid w:val="00B76991"/>
    <w:rsid w:val="00B8594D"/>
    <w:rsid w:val="00BB7050"/>
    <w:rsid w:val="00BE62A9"/>
    <w:rsid w:val="00BF531A"/>
    <w:rsid w:val="00BF5A6C"/>
    <w:rsid w:val="00C35C47"/>
    <w:rsid w:val="00C45BBF"/>
    <w:rsid w:val="00C4734C"/>
    <w:rsid w:val="00C64788"/>
    <w:rsid w:val="00C7501B"/>
    <w:rsid w:val="00C83EC1"/>
    <w:rsid w:val="00C87CAA"/>
    <w:rsid w:val="00C97C86"/>
    <w:rsid w:val="00CA23FD"/>
    <w:rsid w:val="00CA59AE"/>
    <w:rsid w:val="00CB0EB7"/>
    <w:rsid w:val="00CD1BFC"/>
    <w:rsid w:val="00CD3129"/>
    <w:rsid w:val="00CE20CC"/>
    <w:rsid w:val="00CE7305"/>
    <w:rsid w:val="00CF5BA6"/>
    <w:rsid w:val="00D47648"/>
    <w:rsid w:val="00D55E22"/>
    <w:rsid w:val="00D6464B"/>
    <w:rsid w:val="00D726E1"/>
    <w:rsid w:val="00DD0640"/>
    <w:rsid w:val="00DD0ADC"/>
    <w:rsid w:val="00DD2C94"/>
    <w:rsid w:val="00DD5B39"/>
    <w:rsid w:val="00DE5E94"/>
    <w:rsid w:val="00DF0D44"/>
    <w:rsid w:val="00E23F98"/>
    <w:rsid w:val="00E469E7"/>
    <w:rsid w:val="00E50714"/>
    <w:rsid w:val="00E57E04"/>
    <w:rsid w:val="00E82B6C"/>
    <w:rsid w:val="00E82D51"/>
    <w:rsid w:val="00E84141"/>
    <w:rsid w:val="00E9593B"/>
    <w:rsid w:val="00EB0769"/>
    <w:rsid w:val="00ED30BF"/>
    <w:rsid w:val="00F148A5"/>
    <w:rsid w:val="00F27D6F"/>
    <w:rsid w:val="00F33916"/>
    <w:rsid w:val="00F3425C"/>
    <w:rsid w:val="00F374F8"/>
    <w:rsid w:val="00F60FB1"/>
    <w:rsid w:val="00F86F42"/>
    <w:rsid w:val="00FB5D97"/>
    <w:rsid w:val="00FD7E06"/>
    <w:rsid w:val="00FE6025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3FFB"/>
  <w15:chartTrackingRefBased/>
  <w15:docId w15:val="{CF05EFC4-111C-46AB-BF90-EF65D40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5D97"/>
    <w:pPr>
      <w:spacing w:before="40" w:after="60" w:line="240" w:lineRule="auto"/>
    </w:pPr>
    <w:rPr>
      <w:rFonts w:ascii="Calibri" w:hAnsi="Calibri"/>
    </w:rPr>
  </w:style>
  <w:style w:type="paragraph" w:styleId="berschrift1">
    <w:name w:val="heading 1"/>
    <w:basedOn w:val="Standard"/>
    <w:link w:val="berschrift1Zchn"/>
    <w:uiPriority w:val="9"/>
    <w:qFormat/>
    <w:rsid w:val="00DD5B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3D8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0A35C1"/>
    <w:pPr>
      <w:autoSpaceDE w:val="0"/>
      <w:autoSpaceDN w:val="0"/>
      <w:adjustRightInd w:val="0"/>
      <w:spacing w:before="25" w:after="0"/>
      <w:ind w:left="108"/>
    </w:pPr>
    <w:rPr>
      <w:rFonts w:cs="Arial"/>
      <w:b/>
      <w:bCs/>
      <w:sz w:val="32"/>
      <w:szCs w:val="26"/>
    </w:rPr>
  </w:style>
  <w:style w:type="character" w:customStyle="1" w:styleId="TextkrperZchn">
    <w:name w:val="Textkörper Zchn"/>
    <w:basedOn w:val="Absatz-Standardschriftart"/>
    <w:link w:val="Textkrper"/>
    <w:uiPriority w:val="1"/>
    <w:rsid w:val="000A35C1"/>
    <w:rPr>
      <w:rFonts w:ascii="Calibri" w:hAnsi="Calibri" w:cs="Arial"/>
      <w:b/>
      <w:bCs/>
      <w:sz w:val="32"/>
      <w:szCs w:val="26"/>
    </w:rPr>
  </w:style>
  <w:style w:type="paragraph" w:customStyle="1" w:styleId="TableParagraph">
    <w:name w:val="Table Paragraph"/>
    <w:basedOn w:val="Standard"/>
    <w:uiPriority w:val="1"/>
    <w:qFormat/>
    <w:rsid w:val="00975727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BE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73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65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65C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5B3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5B39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5B39"/>
    <w:rPr>
      <w:rFonts w:ascii="Calibri" w:hAnsi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5B39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5071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84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dress">
    <w:name w:val="address"/>
    <w:basedOn w:val="Absatz-Standardschriftart"/>
    <w:rsid w:val="00783D82"/>
  </w:style>
  <w:style w:type="character" w:customStyle="1" w:styleId="telephone">
    <w:name w:val="telephone"/>
    <w:basedOn w:val="Absatz-Standardschriftart"/>
    <w:rsid w:val="00783D82"/>
  </w:style>
  <w:style w:type="character" w:styleId="Fett">
    <w:name w:val="Strong"/>
    <w:basedOn w:val="Absatz-Standardschriftart"/>
    <w:uiPriority w:val="22"/>
    <w:qFormat/>
    <w:rsid w:val="00783D82"/>
    <w:rPr>
      <w:b/>
      <w:bCs/>
    </w:rPr>
  </w:style>
  <w:style w:type="character" w:customStyle="1" w:styleId="email">
    <w:name w:val="email"/>
    <w:basedOn w:val="Absatz-Standardschriftart"/>
    <w:rsid w:val="00783D82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3D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83D82"/>
    <w:pPr>
      <w:spacing w:before="0" w:after="0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83D8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z.bz.it/kunst-kultur/museen/852.asp" TargetMode="External"/><Relationship Id="rId13" Type="http://schemas.openxmlformats.org/officeDocument/2006/relationships/hyperlink" Target="tel:047141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ndesdenkmalamt@provinz.bz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47141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rwaltung.amministrazione@bz-bx.net" TargetMode="External"/><Relationship Id="rId10" Type="http://schemas.openxmlformats.org/officeDocument/2006/relationships/hyperlink" Target="https://www.provinz.bz.it/kunst-kultur/museen/852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vincia.bz.it/arte-cultura/musei/852.asp" TargetMode="External"/><Relationship Id="rId14" Type="http://schemas.openxmlformats.org/officeDocument/2006/relationships/hyperlink" Target="mailto:bevoelkerungsschutz@provinz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2553-A30E-4401-86D2-886045EC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Mitterhofer</dc:creator>
  <cp:keywords/>
  <dc:description/>
  <cp:lastModifiedBy>Michael Mitterhofer</cp:lastModifiedBy>
  <cp:revision>140</cp:revision>
  <cp:lastPrinted>2023-03-14T09:28:00Z</cp:lastPrinted>
  <dcterms:created xsi:type="dcterms:W3CDTF">2023-02-27T09:30:00Z</dcterms:created>
  <dcterms:modified xsi:type="dcterms:W3CDTF">2023-03-22T10:07:00Z</dcterms:modified>
</cp:coreProperties>
</file>